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新增百万亩国土绿化行动进展</w:t>
      </w:r>
    </w:p>
    <w:p>
      <w:pPr>
        <w:spacing w:line="6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各县（市、区）排名</w:t>
      </w:r>
    </w:p>
    <w:p>
      <w:pPr>
        <w:spacing w:after="156" w:afterLines="50" w:line="580" w:lineRule="exact"/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hint="eastAsia" w:ascii="楷体_GB2312" w:hAnsi="仿宋_GB2312" w:eastAsia="楷体_GB2312" w:cs="仿宋_GB2312"/>
          <w:sz w:val="32"/>
          <w:szCs w:val="32"/>
        </w:rPr>
        <w:t>5月11日）</w:t>
      </w:r>
    </w:p>
    <w:tbl>
      <w:tblPr>
        <w:tblStyle w:val="4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29"/>
        <w:gridCol w:w="1091"/>
        <w:gridCol w:w="1240"/>
        <w:gridCol w:w="1240"/>
        <w:gridCol w:w="1240"/>
        <w:gridCol w:w="1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计划任务（亩）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地块落实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地块落实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施工完成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施工完成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湖州市南浔区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191.1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179.5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常山县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160.0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146.1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开化县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132.2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134.5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130.0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江山市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144.5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7135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127.4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141.7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湖州市吴兴区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122.8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舟山市定海区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122.6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2330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122.6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玉环市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121.2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6545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绍兴市越城区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衢州市柯城区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151.5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119.7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永康市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132.6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118.6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衢州市衢江区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127.7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磐安县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129.4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115.4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嘉兴市秀洲区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114.7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114.7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温岭市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义乌市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115.7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4760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绍兴市柯桥区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113.0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118.2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金华市金东区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120.7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杭州市拱墅区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东阳市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127.1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6475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109.7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遂昌县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109.1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11456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109.1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新昌县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108.2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8010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108.2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杭州市余杭区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108.1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108.1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宁波市鄞州区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108.0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3673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108.0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杭州市滨江区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107.5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107.5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余姚市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105.9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4873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105.9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龙游县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107.0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4516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桐乡市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临海市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113.5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12905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龙泉市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15100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金华市婺城区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4185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景宁县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17681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106.5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17348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青田县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18600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缙云县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6786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象山县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5310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龙港市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104.0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宁波市海曙区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2069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103.5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台州市黄岩区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105.3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102.6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武义县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6138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浦江县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温州市洞头区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818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庆元县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102.1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13073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丽水市莲都区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平湖市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2645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云和县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109.1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温州市鹿城区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110.6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3441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2935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松阳县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102.5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101.1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三门县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8870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长兴县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兰溪市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106.4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温州市龙湾区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1609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天台县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112.2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仙居县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116.9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安吉县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104.9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4307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宁波市奉化区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4105.3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4105.3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绍兴市上虞区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105.2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15100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乐清市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杭州市临安区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诸暨市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嵊州市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温州市瓯海区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海盐县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台州市路桥区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台州市椒江区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嘉兴市南湖区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宁波市江北区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淳安县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12667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108.3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11545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98.7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永嘉县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21750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泰顺县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14650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95.8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平阳县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101.8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11181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95.6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岱山县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95.2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杭州市富阳区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杭州市西湖区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92.2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苍南县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舟山市普陀区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111.7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2750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7065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杭州市萧山区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宁波市镇海区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85.6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文成县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15645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3400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嵊泗县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84.4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杭州市江干区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101.0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宁波市北仑区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103.4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81.5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嘉善县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（长三角生态绿色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一体化发展示范区）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2284.7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beforeLines="50"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注：排名按施工完成（%）、地块落实（%）、计划任务优先顺序。</w:t>
            </w:r>
          </w:p>
        </w:tc>
      </w:tr>
    </w:tbl>
    <w:p>
      <w:pPr>
        <w:spacing w:line="580" w:lineRule="exact"/>
        <w:rPr>
          <w:rFonts w:hint="eastAsia" w:ascii="宋体" w:hAnsi="宋体"/>
          <w:b/>
          <w:bCs/>
          <w:color w:val="000000"/>
          <w:sz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before="312" w:beforeLines="100" w:line="520" w:lineRule="exact"/>
        <w:ind w:firstLine="280" w:firstLineChars="1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spacing w:line="520" w:lineRule="exact"/>
        <w:ind w:left="1120" w:hanging="1120" w:hangingChars="4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7905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.05pt;width:455.95pt;z-index:251659264;mso-width-relative:page;mso-height-relative:page;" filled="f" stroked="t" coordsize="21600,21600" o:gfxdata="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sc1YLUAAAABAEAAA8AAAAAAAAA&#10;AQAgAAAAIgAAAGRycy9kb3ducmV2LnhtbFBLAQIUABQAAAAIAIdO4kCyHD3S3AEAAJkDAAAOAAAA&#10;AAAAAAEAIAAAACM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分送：</w:t>
      </w:r>
      <w:r>
        <w:rPr>
          <w:rFonts w:hint="eastAsia" w:ascii="仿宋_GB2312" w:eastAsia="仿宋_GB2312"/>
          <w:spacing w:val="-6"/>
          <w:sz w:val="28"/>
          <w:szCs w:val="28"/>
        </w:rPr>
        <w:t>局机关各处室、直属各单位，省绿委各成员单位，各市、县（市、</w:t>
      </w:r>
    </w:p>
    <w:p>
      <w:pPr>
        <w:tabs>
          <w:tab w:val="left" w:pos="1134"/>
        </w:tabs>
        <w:spacing w:line="520" w:lineRule="exact"/>
        <w:ind w:firstLine="1120" w:firstLineChars="4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区）绿委、林业主管部门。</w:t>
      </w:r>
    </w:p>
    <w:p>
      <w:pPr>
        <w:spacing w:line="520" w:lineRule="exact"/>
        <w:ind w:right="320"/>
        <w:jc w:val="right"/>
        <w:rPr>
          <w:rFonts w:hint="eastAsia"/>
        </w:rPr>
      </w:pPr>
      <w:r>
        <w:rPr>
          <w:rFonts w:ascii="楷体_GB2312" w:eastAsia="楷体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77151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.05pt;width:454.45pt;z-index:251660288;mso-width-relative:page;mso-height-relative:page;" filled="f" stroked="t" coordsize="21600,21600" o:gfxdata="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OFL+1AAAAAQBAAAPAAAAAAAAAAEA&#10;IAAAACIAAABkcnMvZG93bnJldi54bWxQSwECFAAUAAAACACHTuJA71kNutoBAACZAwAADgAAAAAA&#10;AAABACAAAAAjAQAAZHJzL2Uyb0RvYy54bWxQSwUGAAAAAAYABgBZAQAAb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928" w:right="1418" w:bottom="1531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63C5F"/>
    <w:rsid w:val="00F5519F"/>
    <w:rsid w:val="021244F3"/>
    <w:rsid w:val="08CA3CBF"/>
    <w:rsid w:val="090E2D43"/>
    <w:rsid w:val="0A00246C"/>
    <w:rsid w:val="0D1704AF"/>
    <w:rsid w:val="0EB63C5F"/>
    <w:rsid w:val="175629C1"/>
    <w:rsid w:val="1B506989"/>
    <w:rsid w:val="20F95AA6"/>
    <w:rsid w:val="25C26116"/>
    <w:rsid w:val="29DC6EBA"/>
    <w:rsid w:val="32E31785"/>
    <w:rsid w:val="35CA15F0"/>
    <w:rsid w:val="3CC30061"/>
    <w:rsid w:val="4163138E"/>
    <w:rsid w:val="428C4D9A"/>
    <w:rsid w:val="4912455D"/>
    <w:rsid w:val="49DE78D7"/>
    <w:rsid w:val="4D2B1AE3"/>
    <w:rsid w:val="55C91A94"/>
    <w:rsid w:val="55FB2F7D"/>
    <w:rsid w:val="69EC0964"/>
    <w:rsid w:val="6B635B9A"/>
    <w:rsid w:val="78B80534"/>
    <w:rsid w:val="7B4B2D37"/>
    <w:rsid w:val="7DD41B17"/>
    <w:rsid w:val="7F6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semiHidden/>
    <w:uiPriority w:val="0"/>
  </w:style>
  <w:style w:type="character" w:styleId="8">
    <w:name w:val="FollowedHyperlink"/>
    <w:basedOn w:val="5"/>
    <w:qFormat/>
    <w:uiPriority w:val="0"/>
    <w:rPr>
      <w:color w:val="800080"/>
      <w:u w:val="none"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font7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2020-05-06T06:13:00Z</dcterms:created>
  <dc:creator>数据驿站</dc:creator>
  <cp:lastModifiedBy>数据驿站</cp:lastModifiedBy>
  <cp:lastPrinted>2020-05-06T08:26:00Z</cp:lastPrinted>
  <dcterms:modified xsi:type="dcterms:W3CDTF">2020-05-15T08:48:44Z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